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42223B43" w:rsidR="00EF689B" w:rsidRDefault="00EF689B" w:rsidP="00ED102A">
            <w:pPr>
              <w:pStyle w:val="14bldcentr"/>
            </w:pPr>
            <w:r>
              <w:t xml:space="preserve">SOLICITATION </w:t>
            </w:r>
            <w:r w:rsidR="00932B83">
              <w:t xml:space="preserve">ADDENDUM </w:t>
            </w:r>
            <w:r w:rsidR="005C6980">
              <w:t>FOUR</w:t>
            </w:r>
            <w:r w:rsidR="00932B83">
              <w:t xml:space="preserve"> </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0A602344" w14:textId="75802F1A"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CB684F">
        <w:rPr>
          <w:b/>
          <w:bCs/>
          <w:sz w:val="28"/>
        </w:rPr>
        <w:t>12415</w:t>
      </w:r>
      <w:r w:rsidR="003774ED">
        <w:rPr>
          <w:b/>
          <w:bCs/>
          <w:sz w:val="28"/>
        </w:rPr>
        <w:t>0</w:t>
      </w:r>
      <w:r w:rsidR="00CB684F">
        <w:rPr>
          <w:b/>
          <w:bCs/>
          <w:sz w:val="28"/>
        </w:rPr>
        <w:t xml:space="preserve"> O3</w:t>
      </w:r>
    </w:p>
    <w:bookmarkEnd w:id="0"/>
    <w:p w14:paraId="2FB75987" w14:textId="7E2612B0" w:rsidR="00CB684F" w:rsidRPr="00955B4D" w:rsidRDefault="00CB684F" w:rsidP="00CB684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544544">
        <w:rPr>
          <w:b/>
          <w:bCs/>
          <w:sz w:val="28"/>
        </w:rPr>
        <w:t xml:space="preserve">Tree Clearing at Merritt Reservoir </w:t>
      </w:r>
      <w:r w:rsidR="003774ED">
        <w:rPr>
          <w:b/>
          <w:bCs/>
          <w:sz w:val="28"/>
        </w:rPr>
        <w:t>Wildlife Management</w:t>
      </w:r>
      <w:r w:rsidRPr="00544544">
        <w:rPr>
          <w:b/>
          <w:bCs/>
          <w:sz w:val="28"/>
        </w:rPr>
        <w:t xml:space="preserve"> Area</w:t>
      </w:r>
    </w:p>
    <w:p w14:paraId="27F25B1F" w14:textId="6381A03F" w:rsidR="00CB684F" w:rsidRDefault="00CB684F" w:rsidP="00CB684F">
      <w:pPr>
        <w:pStyle w:val="Level1Body"/>
        <w:jc w:val="center"/>
        <w:rPr>
          <w:b/>
          <w:bCs/>
          <w:color w:val="auto"/>
          <w:sz w:val="28"/>
          <w:szCs w:val="28"/>
        </w:rPr>
      </w:pPr>
      <w:r w:rsidRPr="009E3C9C">
        <w:rPr>
          <w:b/>
          <w:bCs/>
          <w:color w:val="auto"/>
          <w:sz w:val="28"/>
          <w:szCs w:val="28"/>
        </w:rPr>
        <w:t xml:space="preserve">Opening Date: </w:t>
      </w:r>
      <w:r w:rsidRPr="00544544">
        <w:rPr>
          <w:b/>
          <w:bCs/>
          <w:color w:val="auto"/>
          <w:sz w:val="28"/>
          <w:szCs w:val="28"/>
        </w:rPr>
        <w:t xml:space="preserve">February 10, 2026, </w:t>
      </w:r>
      <w:r w:rsidR="003774ED">
        <w:rPr>
          <w:b/>
          <w:bCs/>
          <w:color w:val="auto"/>
          <w:sz w:val="28"/>
          <w:szCs w:val="28"/>
        </w:rPr>
        <w:t>2</w:t>
      </w:r>
      <w:r w:rsidRPr="00544544">
        <w:rPr>
          <w:b/>
          <w:bCs/>
          <w:color w:val="auto"/>
          <w:sz w:val="28"/>
          <w:szCs w:val="28"/>
        </w:rPr>
        <w:t>:00 p.m. Central Time</w:t>
      </w:r>
    </w:p>
    <w:p w14:paraId="6F387C11" w14:textId="23A2E071"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696858">
        <w:rPr>
          <w:b/>
          <w:bCs/>
          <w:color w:val="auto"/>
          <w:sz w:val="28"/>
          <w:szCs w:val="28"/>
        </w:rPr>
        <w:t>February 4, 2026.</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76479AD8" w14:textId="77777777" w:rsidR="00932B83" w:rsidRPr="00BD5697" w:rsidRDefault="00932B83" w:rsidP="00932B83">
      <w:pPr>
        <w:pStyle w:val="Level1Body"/>
      </w:pPr>
    </w:p>
    <w:p w14:paraId="70EF351C" w14:textId="77777777" w:rsidR="0002393B"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p w14:paraId="71887D28" w14:textId="15C2E59B" w:rsidR="00932B83" w:rsidRDefault="00932B83" w:rsidP="00932B83">
      <w:pPr>
        <w:pStyle w:val="Level1Body"/>
      </w:pPr>
    </w:p>
    <w:tbl>
      <w:tblPr>
        <w:tblStyle w:val="TableGrid"/>
        <w:tblpPr w:leftFromText="180" w:rightFromText="180" w:vertAnchor="text" w:horzAnchor="margin" w:tblpY="161"/>
        <w:tblW w:w="0" w:type="auto"/>
        <w:tblLook w:val="04A0" w:firstRow="1" w:lastRow="0" w:firstColumn="1" w:lastColumn="0" w:noHBand="0" w:noVBand="1"/>
      </w:tblPr>
      <w:tblGrid>
        <w:gridCol w:w="938"/>
        <w:gridCol w:w="1667"/>
        <w:gridCol w:w="920"/>
        <w:gridCol w:w="2819"/>
        <w:gridCol w:w="3006"/>
      </w:tblGrid>
      <w:tr w:rsidR="00932B83" w14:paraId="069982F8" w14:textId="77777777" w:rsidTr="00696858">
        <w:trPr>
          <w:tblHeader/>
        </w:trPr>
        <w:tc>
          <w:tcPr>
            <w:tcW w:w="938" w:type="dxa"/>
            <w:shd w:val="clear" w:color="auto" w:fill="E6E6E6" w:themeFill="background1" w:themeFillShade="E6"/>
          </w:tcPr>
          <w:p w14:paraId="1C366BEF" w14:textId="77777777" w:rsidR="00932B83" w:rsidRPr="0043603E" w:rsidRDefault="00932B83" w:rsidP="00696858">
            <w:pPr>
              <w:pStyle w:val="Level1Body"/>
              <w:spacing w:before="40" w:after="40"/>
              <w:jc w:val="center"/>
              <w:rPr>
                <w:sz w:val="18"/>
                <w:szCs w:val="18"/>
                <w:u w:val="single"/>
              </w:rPr>
            </w:pPr>
            <w:r w:rsidRPr="0043603E">
              <w:rPr>
                <w:sz w:val="18"/>
                <w:szCs w:val="18"/>
                <w:u w:val="single"/>
              </w:rPr>
              <w:t>Question Number</w:t>
            </w:r>
          </w:p>
        </w:tc>
        <w:tc>
          <w:tcPr>
            <w:tcW w:w="1667" w:type="dxa"/>
            <w:shd w:val="clear" w:color="auto" w:fill="E6E6E6" w:themeFill="background1" w:themeFillShade="E6"/>
          </w:tcPr>
          <w:p w14:paraId="6ED761CD" w14:textId="77777777" w:rsidR="00932B83" w:rsidRPr="00696858" w:rsidRDefault="00932B83" w:rsidP="00696858">
            <w:pPr>
              <w:pStyle w:val="Level1Body"/>
              <w:spacing w:before="40" w:after="40"/>
              <w:jc w:val="center"/>
              <w:rPr>
                <w:sz w:val="18"/>
                <w:szCs w:val="18"/>
                <w:u w:val="single"/>
              </w:rPr>
            </w:pPr>
            <w:r w:rsidRPr="00696858">
              <w:rPr>
                <w:sz w:val="18"/>
                <w:szCs w:val="18"/>
                <w:u w:val="single"/>
              </w:rPr>
              <w:t>RFP/ITB</w:t>
            </w:r>
          </w:p>
          <w:p w14:paraId="57CFD53B" w14:textId="77777777" w:rsidR="00932B83" w:rsidRPr="00696858" w:rsidRDefault="00932B83" w:rsidP="00696858">
            <w:pPr>
              <w:pStyle w:val="Level1Body"/>
              <w:spacing w:before="40" w:after="40"/>
              <w:jc w:val="center"/>
              <w:rPr>
                <w:sz w:val="18"/>
                <w:szCs w:val="18"/>
                <w:u w:val="single"/>
              </w:rPr>
            </w:pPr>
            <w:r w:rsidRPr="00696858">
              <w:rPr>
                <w:sz w:val="18"/>
                <w:szCs w:val="18"/>
                <w:u w:val="single"/>
              </w:rPr>
              <w:t>Section</w:t>
            </w:r>
          </w:p>
          <w:p w14:paraId="5B3417AB" w14:textId="77777777" w:rsidR="00932B83" w:rsidRPr="00696858" w:rsidRDefault="00932B83" w:rsidP="00696858">
            <w:pPr>
              <w:pStyle w:val="Level1Body"/>
              <w:spacing w:before="40" w:after="40"/>
              <w:jc w:val="center"/>
              <w:rPr>
                <w:sz w:val="18"/>
                <w:szCs w:val="18"/>
                <w:u w:val="single"/>
              </w:rPr>
            </w:pPr>
            <w:r w:rsidRPr="00696858">
              <w:rPr>
                <w:sz w:val="18"/>
                <w:szCs w:val="18"/>
                <w:u w:val="single"/>
              </w:rPr>
              <w:t>Reference</w:t>
            </w:r>
          </w:p>
        </w:tc>
        <w:tc>
          <w:tcPr>
            <w:tcW w:w="920" w:type="dxa"/>
            <w:shd w:val="clear" w:color="auto" w:fill="E6E6E6" w:themeFill="background1" w:themeFillShade="E6"/>
          </w:tcPr>
          <w:p w14:paraId="787CCFC9" w14:textId="77777777" w:rsidR="00932B83" w:rsidRPr="00696858" w:rsidRDefault="00932B83" w:rsidP="00696858">
            <w:pPr>
              <w:pStyle w:val="Level1Body"/>
              <w:spacing w:before="40" w:after="40"/>
              <w:jc w:val="center"/>
              <w:rPr>
                <w:sz w:val="18"/>
                <w:szCs w:val="18"/>
                <w:u w:val="single"/>
              </w:rPr>
            </w:pPr>
            <w:r w:rsidRPr="00696858">
              <w:rPr>
                <w:sz w:val="18"/>
                <w:szCs w:val="18"/>
                <w:u w:val="single"/>
              </w:rPr>
              <w:t>RFP/ITB</w:t>
            </w:r>
          </w:p>
          <w:p w14:paraId="673C5BF6" w14:textId="77777777" w:rsidR="00932B83" w:rsidRPr="00696858" w:rsidRDefault="00932B83" w:rsidP="00696858">
            <w:pPr>
              <w:pStyle w:val="Level1Body"/>
              <w:spacing w:before="40" w:after="40"/>
              <w:jc w:val="center"/>
              <w:rPr>
                <w:sz w:val="18"/>
                <w:szCs w:val="18"/>
                <w:u w:val="single"/>
              </w:rPr>
            </w:pPr>
            <w:r w:rsidRPr="00696858">
              <w:rPr>
                <w:sz w:val="18"/>
                <w:szCs w:val="18"/>
                <w:u w:val="single"/>
              </w:rPr>
              <w:t>Page Number</w:t>
            </w:r>
          </w:p>
        </w:tc>
        <w:tc>
          <w:tcPr>
            <w:tcW w:w="2819" w:type="dxa"/>
            <w:shd w:val="clear" w:color="auto" w:fill="E6E6E6" w:themeFill="background1" w:themeFillShade="E6"/>
          </w:tcPr>
          <w:p w14:paraId="11A0D5A5" w14:textId="77777777" w:rsidR="00932B83" w:rsidRPr="0043603E" w:rsidRDefault="00932B83" w:rsidP="00696858">
            <w:pPr>
              <w:pStyle w:val="Level1Body"/>
              <w:spacing w:before="40" w:after="40"/>
              <w:jc w:val="center"/>
              <w:rPr>
                <w:sz w:val="18"/>
                <w:szCs w:val="18"/>
                <w:u w:val="single"/>
              </w:rPr>
            </w:pPr>
            <w:r w:rsidRPr="0043603E">
              <w:rPr>
                <w:sz w:val="18"/>
                <w:szCs w:val="18"/>
                <w:u w:val="single"/>
              </w:rPr>
              <w:t>Question</w:t>
            </w:r>
          </w:p>
        </w:tc>
        <w:tc>
          <w:tcPr>
            <w:tcW w:w="3006" w:type="dxa"/>
            <w:shd w:val="clear" w:color="auto" w:fill="E6E6E6" w:themeFill="background1" w:themeFillShade="E6"/>
          </w:tcPr>
          <w:p w14:paraId="6230D648" w14:textId="77777777" w:rsidR="00932B83" w:rsidRPr="0043603E" w:rsidRDefault="00932B83" w:rsidP="00696858">
            <w:pPr>
              <w:pStyle w:val="Level1Body"/>
              <w:spacing w:before="40" w:after="40"/>
              <w:jc w:val="center"/>
              <w:rPr>
                <w:sz w:val="18"/>
                <w:szCs w:val="18"/>
                <w:u w:val="single"/>
              </w:rPr>
            </w:pPr>
            <w:r w:rsidRPr="0043603E">
              <w:rPr>
                <w:sz w:val="18"/>
                <w:szCs w:val="18"/>
                <w:u w:val="single"/>
              </w:rPr>
              <w:t>State Response</w:t>
            </w:r>
          </w:p>
        </w:tc>
      </w:tr>
      <w:tr w:rsidR="00932B83" w14:paraId="19920E1D" w14:textId="77777777" w:rsidTr="00CB684F">
        <w:tc>
          <w:tcPr>
            <w:tcW w:w="938" w:type="dxa"/>
          </w:tcPr>
          <w:p w14:paraId="4A420C68" w14:textId="77777777" w:rsidR="00932B83" w:rsidRDefault="00932B83" w:rsidP="00696858">
            <w:pPr>
              <w:pStyle w:val="Level1Body"/>
              <w:spacing w:before="40" w:after="40"/>
            </w:pPr>
            <w:r>
              <w:t>1.</w:t>
            </w:r>
          </w:p>
        </w:tc>
        <w:tc>
          <w:tcPr>
            <w:tcW w:w="1667" w:type="dxa"/>
          </w:tcPr>
          <w:p w14:paraId="62E2C0FB" w14:textId="7C8BC2B5" w:rsidR="00932B83" w:rsidRPr="00CB684F" w:rsidRDefault="00CB684F" w:rsidP="00696858">
            <w:pPr>
              <w:pStyle w:val="Level1Body"/>
              <w:spacing w:before="40" w:after="40"/>
              <w:jc w:val="left"/>
            </w:pPr>
            <w:r w:rsidRPr="00CB684F">
              <w:t>I. Procurement Procedure</w:t>
            </w:r>
          </w:p>
        </w:tc>
        <w:tc>
          <w:tcPr>
            <w:tcW w:w="920" w:type="dxa"/>
          </w:tcPr>
          <w:p w14:paraId="301236CD" w14:textId="18B98EDF" w:rsidR="00932B83" w:rsidRPr="00CB684F" w:rsidRDefault="00CB684F" w:rsidP="00696858">
            <w:pPr>
              <w:pStyle w:val="Level1Body"/>
              <w:spacing w:before="40" w:after="40"/>
              <w:jc w:val="center"/>
            </w:pPr>
            <w:r w:rsidRPr="00CB684F">
              <w:t>3</w:t>
            </w:r>
          </w:p>
        </w:tc>
        <w:tc>
          <w:tcPr>
            <w:tcW w:w="2819" w:type="dxa"/>
          </w:tcPr>
          <w:p w14:paraId="45CD133D" w14:textId="2CCCCD0B" w:rsidR="00932B83" w:rsidRPr="00CB684F" w:rsidRDefault="00CB684F" w:rsidP="00696858">
            <w:pPr>
              <w:pStyle w:val="Level1Body"/>
              <w:spacing w:before="40" w:after="40"/>
            </w:pPr>
            <w:r w:rsidRPr="00CB684F">
              <w:t>Are the additional contractors who added their names to the bid meeting sheet (weren’t printed) eligible to bid on this project?</w:t>
            </w:r>
          </w:p>
        </w:tc>
        <w:tc>
          <w:tcPr>
            <w:tcW w:w="3006" w:type="dxa"/>
          </w:tcPr>
          <w:p w14:paraId="6767F0E9" w14:textId="12E2C31F" w:rsidR="00932B83" w:rsidRPr="000F2B76" w:rsidRDefault="004B6B21" w:rsidP="00696858">
            <w:pPr>
              <w:pStyle w:val="Level1Body"/>
              <w:spacing w:before="40" w:after="40"/>
              <w:rPr>
                <w:color w:val="auto"/>
              </w:rPr>
            </w:pPr>
            <w:r w:rsidRPr="000F2B76">
              <w:rPr>
                <w:color w:val="auto"/>
              </w:rPr>
              <w:t>Yes, they are.</w:t>
            </w:r>
          </w:p>
        </w:tc>
      </w:tr>
      <w:tr w:rsidR="00CB684F" w14:paraId="29DDA9C2" w14:textId="77777777" w:rsidTr="00CB684F">
        <w:tc>
          <w:tcPr>
            <w:tcW w:w="938" w:type="dxa"/>
          </w:tcPr>
          <w:p w14:paraId="7B5F1674" w14:textId="4BAC3ECF" w:rsidR="00CB684F" w:rsidRDefault="00CB684F" w:rsidP="00696858">
            <w:pPr>
              <w:pStyle w:val="Level1Body"/>
              <w:spacing w:before="40" w:after="40"/>
            </w:pPr>
            <w:r>
              <w:t>2.</w:t>
            </w:r>
          </w:p>
        </w:tc>
        <w:tc>
          <w:tcPr>
            <w:tcW w:w="1667" w:type="dxa"/>
          </w:tcPr>
          <w:p w14:paraId="09ED5495" w14:textId="421AB746" w:rsidR="00CB684F" w:rsidRPr="00CB684F" w:rsidRDefault="00CB684F" w:rsidP="00696858">
            <w:pPr>
              <w:pStyle w:val="Level1Body"/>
              <w:spacing w:before="40" w:after="40"/>
              <w:jc w:val="left"/>
            </w:pPr>
            <w:r w:rsidRPr="00CB684F">
              <w:t>I. Procurement Procedure</w:t>
            </w:r>
          </w:p>
        </w:tc>
        <w:tc>
          <w:tcPr>
            <w:tcW w:w="920" w:type="dxa"/>
          </w:tcPr>
          <w:p w14:paraId="70D29618" w14:textId="15F5C250" w:rsidR="00CB684F" w:rsidRPr="00CB684F" w:rsidRDefault="00CB684F" w:rsidP="00696858">
            <w:pPr>
              <w:pStyle w:val="Level1Body"/>
              <w:spacing w:before="40" w:after="40"/>
              <w:jc w:val="center"/>
            </w:pPr>
            <w:r w:rsidRPr="00CB684F">
              <w:t>3</w:t>
            </w:r>
          </w:p>
        </w:tc>
        <w:tc>
          <w:tcPr>
            <w:tcW w:w="2819" w:type="dxa"/>
          </w:tcPr>
          <w:p w14:paraId="59D4F8E0" w14:textId="2A0DD163" w:rsidR="00CB684F" w:rsidRPr="00CB684F" w:rsidRDefault="00CB684F" w:rsidP="00696858">
            <w:pPr>
              <w:pStyle w:val="Level1Body"/>
              <w:spacing w:before="40" w:after="40"/>
            </w:pPr>
            <w:r w:rsidRPr="00CB684F">
              <w:t>Do we need to be registered with the SECRETARY OF STATE/TAX COMMISSIONER when submitting the bid as a foreign entity or just before the contract is signed?</w:t>
            </w:r>
          </w:p>
        </w:tc>
        <w:tc>
          <w:tcPr>
            <w:tcW w:w="3006" w:type="dxa"/>
          </w:tcPr>
          <w:p w14:paraId="5A5C816A" w14:textId="277036B7" w:rsidR="00CB684F" w:rsidRPr="000F2B76" w:rsidRDefault="004B6B21" w:rsidP="00696858">
            <w:pPr>
              <w:pStyle w:val="Level1Body"/>
              <w:spacing w:before="40" w:after="40"/>
              <w:rPr>
                <w:color w:val="auto"/>
              </w:rPr>
            </w:pPr>
            <w:r w:rsidRPr="000F2B76">
              <w:rPr>
                <w:color w:val="auto"/>
              </w:rPr>
              <w:t>The Secretary of State Registration Requirement is after the Intend to award, and it is necessary to sign the contract.</w:t>
            </w:r>
          </w:p>
        </w:tc>
      </w:tr>
      <w:tr w:rsidR="00CB684F" w14:paraId="03DD5D30" w14:textId="77777777" w:rsidTr="00CB684F">
        <w:tc>
          <w:tcPr>
            <w:tcW w:w="938" w:type="dxa"/>
          </w:tcPr>
          <w:p w14:paraId="13341E7E" w14:textId="335B0A8D" w:rsidR="00CB684F" w:rsidRDefault="00CB684F" w:rsidP="00696858">
            <w:pPr>
              <w:pStyle w:val="Level1Body"/>
              <w:spacing w:before="40" w:after="40"/>
            </w:pPr>
            <w:r>
              <w:t>3.</w:t>
            </w:r>
          </w:p>
        </w:tc>
        <w:tc>
          <w:tcPr>
            <w:tcW w:w="1667" w:type="dxa"/>
          </w:tcPr>
          <w:p w14:paraId="518284D7" w14:textId="7CE3F7A8" w:rsidR="00CB684F" w:rsidRPr="00CB684F" w:rsidRDefault="00CB684F" w:rsidP="00696858">
            <w:pPr>
              <w:pStyle w:val="Level1Body"/>
              <w:spacing w:before="40" w:after="40"/>
              <w:jc w:val="left"/>
            </w:pPr>
            <w:r w:rsidRPr="00CB684F">
              <w:t>II. Vendor Duties</w:t>
            </w:r>
          </w:p>
        </w:tc>
        <w:tc>
          <w:tcPr>
            <w:tcW w:w="920" w:type="dxa"/>
          </w:tcPr>
          <w:p w14:paraId="172F075F" w14:textId="4667A9A6" w:rsidR="00CB684F" w:rsidRPr="00CB684F" w:rsidRDefault="00CB684F" w:rsidP="00696858">
            <w:pPr>
              <w:pStyle w:val="Level1Body"/>
              <w:spacing w:before="40" w:after="40"/>
              <w:jc w:val="center"/>
            </w:pPr>
            <w:r w:rsidRPr="00CB684F">
              <w:t>15</w:t>
            </w:r>
          </w:p>
        </w:tc>
        <w:tc>
          <w:tcPr>
            <w:tcW w:w="2819" w:type="dxa"/>
          </w:tcPr>
          <w:p w14:paraId="25E3D41C" w14:textId="77777777" w:rsidR="004B6B21" w:rsidRDefault="00CB684F" w:rsidP="00696858">
            <w:pPr>
              <w:pStyle w:val="Level1Body"/>
              <w:spacing w:before="40" w:after="40"/>
            </w:pPr>
            <w:r w:rsidRPr="00CB684F">
              <w:t xml:space="preserve">While evaluating the sites, a company, Skidder </w:t>
            </w:r>
            <w:proofErr w:type="gramStart"/>
            <w:r w:rsidRPr="00CB684F">
              <w:t>Bros</w:t>
            </w:r>
            <w:proofErr w:type="gramEnd"/>
            <w:r w:rsidRPr="00CB684F">
              <w:t xml:space="preserve"> was seen already doing work seemingly within the areas covered by this solicitation. Are they working under additional contract for the same sort of work issued for adjacent areas or are they working on a separate treatment prescription?</w:t>
            </w:r>
          </w:p>
          <w:p w14:paraId="16ED9A74" w14:textId="77777777" w:rsidR="004B6B21" w:rsidRDefault="004B6B21" w:rsidP="00696858">
            <w:pPr>
              <w:pStyle w:val="Level1Body"/>
              <w:spacing w:before="40" w:after="40"/>
            </w:pPr>
          </w:p>
          <w:p w14:paraId="023A8422" w14:textId="344B230B" w:rsidR="00CB684F" w:rsidRPr="00CB684F" w:rsidRDefault="00CB684F" w:rsidP="00696858">
            <w:pPr>
              <w:pStyle w:val="Level1Body"/>
              <w:spacing w:before="40" w:after="40"/>
            </w:pPr>
            <w:r w:rsidRPr="00CB684F">
              <w:t>Will they be working concurrently within the areas solicited under this contract during the Period of Performance?</w:t>
            </w:r>
          </w:p>
        </w:tc>
        <w:tc>
          <w:tcPr>
            <w:tcW w:w="3006" w:type="dxa"/>
          </w:tcPr>
          <w:p w14:paraId="5706A9E9" w14:textId="0EC8BACF" w:rsidR="004B6B21" w:rsidRPr="000F2B76" w:rsidRDefault="004B6B21" w:rsidP="00696858">
            <w:pPr>
              <w:pStyle w:val="Level1Body"/>
              <w:spacing w:before="40" w:after="40"/>
              <w:rPr>
                <w:color w:val="auto"/>
              </w:rPr>
            </w:pPr>
            <w:r w:rsidRPr="000F2B76">
              <w:rPr>
                <w:color w:val="auto"/>
              </w:rPr>
              <w:t>Ski</w:t>
            </w:r>
            <w:r w:rsidR="0046726D" w:rsidRPr="000F2B76">
              <w:rPr>
                <w:color w:val="auto"/>
              </w:rPr>
              <w:t>d</w:t>
            </w:r>
            <w:r w:rsidRPr="000F2B76">
              <w:rPr>
                <w:color w:val="auto"/>
              </w:rPr>
              <w:t xml:space="preserve">der Bros is working </w:t>
            </w:r>
            <w:r w:rsidR="00510C0A" w:rsidRPr="000F2B76">
              <w:rPr>
                <w:color w:val="auto"/>
              </w:rPr>
              <w:t>under different</w:t>
            </w:r>
            <w:r w:rsidR="0046726D" w:rsidRPr="000F2B76">
              <w:rPr>
                <w:color w:val="auto"/>
              </w:rPr>
              <w:t xml:space="preserve"> </w:t>
            </w:r>
            <w:r w:rsidRPr="000F2B76">
              <w:rPr>
                <w:color w:val="auto"/>
              </w:rPr>
              <w:t xml:space="preserve">contracts in specific areas, even </w:t>
            </w:r>
            <w:r w:rsidR="00FC446E" w:rsidRPr="000F2B76">
              <w:rPr>
                <w:color w:val="auto"/>
              </w:rPr>
              <w:t>though it</w:t>
            </w:r>
            <w:r w:rsidRPr="000F2B76">
              <w:rPr>
                <w:color w:val="auto"/>
              </w:rPr>
              <w:t xml:space="preserve"> is the same sort of work.</w:t>
            </w:r>
          </w:p>
          <w:p w14:paraId="68F02773" w14:textId="77777777" w:rsidR="004B6B21" w:rsidRPr="000F2B76" w:rsidRDefault="004B6B21" w:rsidP="00696858">
            <w:pPr>
              <w:pStyle w:val="Level1Body"/>
              <w:spacing w:before="40" w:after="40"/>
              <w:rPr>
                <w:color w:val="auto"/>
              </w:rPr>
            </w:pPr>
          </w:p>
          <w:p w14:paraId="22D4C497" w14:textId="77777777" w:rsidR="006B6245" w:rsidRPr="000F2B76" w:rsidRDefault="006B6245" w:rsidP="00696858">
            <w:pPr>
              <w:pStyle w:val="Level1Body"/>
              <w:spacing w:before="40" w:after="40"/>
              <w:rPr>
                <w:color w:val="auto"/>
              </w:rPr>
            </w:pPr>
          </w:p>
          <w:p w14:paraId="6153BD97" w14:textId="77777777" w:rsidR="006B6245" w:rsidRPr="000F2B76" w:rsidRDefault="006B6245" w:rsidP="00696858">
            <w:pPr>
              <w:pStyle w:val="Level1Body"/>
              <w:spacing w:before="40" w:after="40"/>
              <w:rPr>
                <w:color w:val="auto"/>
              </w:rPr>
            </w:pPr>
          </w:p>
          <w:p w14:paraId="7CE7C464" w14:textId="77777777" w:rsidR="006B6245" w:rsidRPr="000F2B76" w:rsidRDefault="006B6245" w:rsidP="00696858">
            <w:pPr>
              <w:pStyle w:val="Level1Body"/>
              <w:spacing w:before="40" w:after="40"/>
              <w:rPr>
                <w:color w:val="auto"/>
              </w:rPr>
            </w:pPr>
          </w:p>
          <w:p w14:paraId="04E508A5" w14:textId="77777777" w:rsidR="006B6245" w:rsidRPr="000F2B76" w:rsidRDefault="006B6245" w:rsidP="00696858">
            <w:pPr>
              <w:pStyle w:val="Level1Body"/>
              <w:spacing w:before="40" w:after="40"/>
              <w:rPr>
                <w:color w:val="auto"/>
              </w:rPr>
            </w:pPr>
          </w:p>
          <w:p w14:paraId="6A5CF589" w14:textId="77777777" w:rsidR="006B6245" w:rsidRPr="000F2B76" w:rsidRDefault="006B6245" w:rsidP="00696858">
            <w:pPr>
              <w:pStyle w:val="Level1Body"/>
              <w:spacing w:before="40" w:after="40"/>
              <w:rPr>
                <w:color w:val="auto"/>
              </w:rPr>
            </w:pPr>
          </w:p>
          <w:p w14:paraId="5CDD85EF" w14:textId="77777777" w:rsidR="006B6245" w:rsidRPr="000F2B76" w:rsidRDefault="006B6245" w:rsidP="00696858">
            <w:pPr>
              <w:pStyle w:val="Level1Body"/>
              <w:spacing w:before="40" w:after="40"/>
              <w:rPr>
                <w:color w:val="auto"/>
              </w:rPr>
            </w:pPr>
          </w:p>
          <w:p w14:paraId="65AA14DE" w14:textId="77777777" w:rsidR="006B6245" w:rsidRPr="000F2B76" w:rsidRDefault="006B6245" w:rsidP="00696858">
            <w:pPr>
              <w:pStyle w:val="Level1Body"/>
              <w:spacing w:before="40" w:after="40"/>
              <w:rPr>
                <w:color w:val="auto"/>
              </w:rPr>
            </w:pPr>
          </w:p>
          <w:p w14:paraId="24C16EA4" w14:textId="3179F278" w:rsidR="006B6245" w:rsidRPr="000F2B76" w:rsidRDefault="006B6245" w:rsidP="00696858">
            <w:pPr>
              <w:pStyle w:val="Level1Body"/>
              <w:spacing w:before="40" w:after="40"/>
              <w:rPr>
                <w:color w:val="auto"/>
              </w:rPr>
            </w:pPr>
            <w:r w:rsidRPr="000F2B76">
              <w:rPr>
                <w:color w:val="auto"/>
              </w:rPr>
              <w:t>Current contract expire</w:t>
            </w:r>
            <w:r w:rsidR="000F2B76">
              <w:rPr>
                <w:color w:val="auto"/>
              </w:rPr>
              <w:t>s</w:t>
            </w:r>
            <w:r w:rsidRPr="000F2B76">
              <w:rPr>
                <w:color w:val="auto"/>
              </w:rPr>
              <w:t xml:space="preserve"> on June 30, </w:t>
            </w:r>
            <w:proofErr w:type="gramStart"/>
            <w:r w:rsidRPr="000F2B76">
              <w:rPr>
                <w:color w:val="auto"/>
              </w:rPr>
              <w:t>2026</w:t>
            </w:r>
            <w:proofErr w:type="gramEnd"/>
            <w:r w:rsidRPr="000F2B76">
              <w:rPr>
                <w:color w:val="auto"/>
              </w:rPr>
              <w:t xml:space="preserve"> with no renewals.</w:t>
            </w:r>
          </w:p>
          <w:p w14:paraId="19EBBDCF" w14:textId="602651A0" w:rsidR="00CB684F" w:rsidRPr="000F2B76" w:rsidRDefault="00CB684F" w:rsidP="00696858">
            <w:pPr>
              <w:pStyle w:val="Level1Body"/>
              <w:spacing w:before="40" w:after="40"/>
              <w:rPr>
                <w:color w:val="auto"/>
              </w:rPr>
            </w:pPr>
          </w:p>
        </w:tc>
      </w:tr>
      <w:tr w:rsidR="00CB684F" w14:paraId="007A14E5" w14:textId="77777777" w:rsidTr="00CB684F">
        <w:tc>
          <w:tcPr>
            <w:tcW w:w="938" w:type="dxa"/>
          </w:tcPr>
          <w:p w14:paraId="5E4C9A48" w14:textId="7C1F732D" w:rsidR="00CB684F" w:rsidRDefault="00CB684F" w:rsidP="00696858">
            <w:pPr>
              <w:pStyle w:val="Level1Body"/>
              <w:spacing w:before="40" w:after="40"/>
            </w:pPr>
            <w:r>
              <w:lastRenderedPageBreak/>
              <w:t>4.</w:t>
            </w:r>
          </w:p>
        </w:tc>
        <w:tc>
          <w:tcPr>
            <w:tcW w:w="1667" w:type="dxa"/>
          </w:tcPr>
          <w:p w14:paraId="3BC79D90" w14:textId="4D42E9BD" w:rsidR="00CB684F" w:rsidRDefault="00CB684F" w:rsidP="00696858">
            <w:pPr>
              <w:pStyle w:val="Level1Body"/>
              <w:spacing w:before="40" w:after="40"/>
              <w:jc w:val="left"/>
            </w:pPr>
            <w:r>
              <w:t>V. Project Description and Scope of Work</w:t>
            </w:r>
          </w:p>
        </w:tc>
        <w:tc>
          <w:tcPr>
            <w:tcW w:w="920" w:type="dxa"/>
          </w:tcPr>
          <w:p w14:paraId="73F47C3E" w14:textId="7C0B4E97" w:rsidR="00CB684F" w:rsidRDefault="00CB684F" w:rsidP="00696858">
            <w:pPr>
              <w:pStyle w:val="Level1Body"/>
              <w:spacing w:before="40" w:after="40"/>
              <w:jc w:val="center"/>
            </w:pPr>
            <w:r>
              <w:t>22</w:t>
            </w:r>
          </w:p>
        </w:tc>
        <w:tc>
          <w:tcPr>
            <w:tcW w:w="2819" w:type="dxa"/>
          </w:tcPr>
          <w:p w14:paraId="054F5C0D" w14:textId="66B4338E" w:rsidR="00CB684F" w:rsidRDefault="00CB684F" w:rsidP="00696858">
            <w:pPr>
              <w:pStyle w:val="Level1Body"/>
              <w:spacing w:before="40" w:after="40"/>
            </w:pPr>
            <w:r w:rsidRPr="00CB684F">
              <w:t>In the woodland areas, are we to cut and mulch all cedar and juniper, or just those that are 6” DBH or less?</w:t>
            </w:r>
          </w:p>
        </w:tc>
        <w:tc>
          <w:tcPr>
            <w:tcW w:w="3006" w:type="dxa"/>
          </w:tcPr>
          <w:p w14:paraId="508B0636" w14:textId="66A50F81" w:rsidR="0002393B" w:rsidRDefault="0002393B" w:rsidP="00696858">
            <w:pPr>
              <w:pStyle w:val="Level1Body"/>
              <w:spacing w:before="40" w:after="40"/>
            </w:pPr>
            <w:r>
              <w:t>Specs state all trees 20 feet tall or less must be mulched, as well as any trees over 20 feet tall that have a diameter at breast height (DBH) of 6 inches or less.  Trees over 20 feet in height with a DBH over 6 inches may be mulched or cut and piled.  In general, however, we prefer to have as much mulched as possible.</w:t>
            </w:r>
          </w:p>
        </w:tc>
      </w:tr>
      <w:tr w:rsidR="00CB684F" w14:paraId="334643EB" w14:textId="77777777" w:rsidTr="00CB684F">
        <w:tc>
          <w:tcPr>
            <w:tcW w:w="938" w:type="dxa"/>
          </w:tcPr>
          <w:p w14:paraId="66804F69" w14:textId="59A9FD80" w:rsidR="00CB684F" w:rsidRDefault="00CB684F" w:rsidP="00696858">
            <w:pPr>
              <w:pStyle w:val="Level1Body"/>
              <w:spacing w:before="40" w:after="40"/>
            </w:pPr>
            <w:r>
              <w:t>5.</w:t>
            </w:r>
          </w:p>
        </w:tc>
        <w:tc>
          <w:tcPr>
            <w:tcW w:w="1667" w:type="dxa"/>
          </w:tcPr>
          <w:p w14:paraId="63734E27" w14:textId="655A1DF2" w:rsidR="00CB684F" w:rsidRDefault="00CB684F" w:rsidP="00696858">
            <w:pPr>
              <w:pStyle w:val="Level1Body"/>
              <w:spacing w:before="40" w:after="40"/>
              <w:jc w:val="left"/>
            </w:pPr>
            <w:r>
              <w:t>V. Project Description and Scope of Work</w:t>
            </w:r>
          </w:p>
        </w:tc>
        <w:tc>
          <w:tcPr>
            <w:tcW w:w="920" w:type="dxa"/>
          </w:tcPr>
          <w:p w14:paraId="598A1FC2" w14:textId="4D3BC09A" w:rsidR="00CB684F" w:rsidRDefault="00CB684F" w:rsidP="00696858">
            <w:pPr>
              <w:pStyle w:val="Level1Body"/>
              <w:spacing w:before="40" w:after="40"/>
            </w:pPr>
            <w:r>
              <w:t>22</w:t>
            </w:r>
          </w:p>
        </w:tc>
        <w:tc>
          <w:tcPr>
            <w:tcW w:w="2819" w:type="dxa"/>
          </w:tcPr>
          <w:p w14:paraId="22F13D67" w14:textId="67666675" w:rsidR="00CB684F" w:rsidRDefault="00CB684F" w:rsidP="00696858">
            <w:pPr>
              <w:pStyle w:val="Level1Body"/>
              <w:spacing w:before="40" w:after="40"/>
            </w:pPr>
            <w:r w:rsidRPr="00CB684F">
              <w:t xml:space="preserve">Is there a </w:t>
            </w:r>
            <w:proofErr w:type="gramStart"/>
            <w:r w:rsidRPr="00CB684F">
              <w:t>slope maximum</w:t>
            </w:r>
            <w:proofErr w:type="gramEnd"/>
            <w:r w:rsidRPr="00CB684F">
              <w:t xml:space="preserve"> for operations or should we plan on </w:t>
            </w:r>
            <w:proofErr w:type="gramStart"/>
            <w:r w:rsidRPr="00CB684F">
              <w:t>treating on</w:t>
            </w:r>
            <w:proofErr w:type="gramEnd"/>
            <w:r w:rsidRPr="00CB684F">
              <w:t xml:space="preserve"> all areas mapped?</w:t>
            </w:r>
          </w:p>
        </w:tc>
        <w:tc>
          <w:tcPr>
            <w:tcW w:w="3006" w:type="dxa"/>
          </w:tcPr>
          <w:p w14:paraId="1D3FD295" w14:textId="641275D2" w:rsidR="00696858" w:rsidRDefault="00E91C7F" w:rsidP="00696858">
            <w:pPr>
              <w:pStyle w:val="Level1Body"/>
              <w:spacing w:before="40" w:after="40"/>
            </w:pPr>
            <w:r>
              <w:t xml:space="preserve">Any areas with a slope of 35% or less will be mulched.  In many areas, areas </w:t>
            </w:r>
            <w:r w:rsidR="000F2B76">
              <w:t>with a slope</w:t>
            </w:r>
            <w:r>
              <w:t xml:space="preserve"> </w:t>
            </w:r>
            <w:r w:rsidR="000F2B76">
              <w:t>over 35%</w:t>
            </w:r>
            <w:r>
              <w:t xml:space="preserve"> have been mapped out of the project.</w:t>
            </w:r>
            <w:r w:rsidR="00FC446E">
              <w:t xml:space="preserve"> </w:t>
            </w:r>
          </w:p>
          <w:p w14:paraId="65BD9201" w14:textId="77777777" w:rsidR="00696858" w:rsidRDefault="00696858" w:rsidP="00696858">
            <w:pPr>
              <w:pStyle w:val="Level1Body"/>
              <w:spacing w:before="40" w:after="40"/>
            </w:pPr>
          </w:p>
          <w:p w14:paraId="1BCD6FC9" w14:textId="34970CE7" w:rsidR="00CB684F" w:rsidRDefault="00E91C7F" w:rsidP="00696858">
            <w:pPr>
              <w:pStyle w:val="Level1Body"/>
              <w:spacing w:before="40" w:after="40"/>
            </w:pPr>
            <w:r>
              <w:t xml:space="preserve">Inclusions within the units that weren’t feasible to remove were left, with the understanding they </w:t>
            </w:r>
            <w:proofErr w:type="gramStart"/>
            <w:r>
              <w:t>likely would</w:t>
            </w:r>
            <w:proofErr w:type="gramEnd"/>
            <w:r>
              <w:t xml:space="preserve"> not </w:t>
            </w:r>
            <w:proofErr w:type="gramStart"/>
            <w:r>
              <w:t>be cut</w:t>
            </w:r>
            <w:proofErr w:type="gramEnd"/>
            <w:r>
              <w:t xml:space="preserve">.  </w:t>
            </w:r>
            <w:r w:rsidR="000F2B76">
              <w:t>Slope</w:t>
            </w:r>
            <w:r>
              <w:t xml:space="preserve"> maps will be provided to the Contractor </w:t>
            </w:r>
            <w:r w:rsidR="000F2B76">
              <w:t>who is awarded the project.</w:t>
            </w:r>
          </w:p>
        </w:tc>
      </w:tr>
      <w:tr w:rsidR="00CB684F" w14:paraId="0E07A05C" w14:textId="77777777" w:rsidTr="00CB684F">
        <w:tc>
          <w:tcPr>
            <w:tcW w:w="938" w:type="dxa"/>
          </w:tcPr>
          <w:p w14:paraId="29A8564E" w14:textId="64C51362" w:rsidR="00CB684F" w:rsidRDefault="00CB684F" w:rsidP="00696858">
            <w:pPr>
              <w:pStyle w:val="Level1Body"/>
              <w:spacing w:before="40" w:after="40"/>
            </w:pPr>
            <w:r>
              <w:t>6.</w:t>
            </w:r>
          </w:p>
        </w:tc>
        <w:tc>
          <w:tcPr>
            <w:tcW w:w="1667" w:type="dxa"/>
          </w:tcPr>
          <w:p w14:paraId="3A03B033" w14:textId="502709D9" w:rsidR="00CB684F" w:rsidRDefault="006B6245" w:rsidP="00696858">
            <w:pPr>
              <w:pStyle w:val="Level1Body"/>
              <w:spacing w:before="40" w:after="40"/>
              <w:jc w:val="left"/>
            </w:pPr>
            <w:r>
              <w:t>Section V</w:t>
            </w:r>
          </w:p>
        </w:tc>
        <w:tc>
          <w:tcPr>
            <w:tcW w:w="920" w:type="dxa"/>
          </w:tcPr>
          <w:p w14:paraId="3A8B6168" w14:textId="11E93CD3" w:rsidR="00CB684F" w:rsidRDefault="006B6245" w:rsidP="00696858">
            <w:pPr>
              <w:pStyle w:val="Level1Body"/>
              <w:spacing w:before="40" w:after="40"/>
            </w:pPr>
            <w:r>
              <w:t>2</w:t>
            </w:r>
            <w:r w:rsidR="00117A3D">
              <w:t>3</w:t>
            </w:r>
          </w:p>
        </w:tc>
        <w:tc>
          <w:tcPr>
            <w:tcW w:w="2819" w:type="dxa"/>
          </w:tcPr>
          <w:p w14:paraId="10249432" w14:textId="2A0B1951" w:rsidR="00CB684F" w:rsidRDefault="006B6245" w:rsidP="00696858">
            <w:pPr>
              <w:pStyle w:val="Level1Body"/>
              <w:spacing w:before="40" w:after="40"/>
            </w:pPr>
            <w:r w:rsidRPr="006B6245">
              <w:t>Is there any possibility of longer timeframe on completion?</w:t>
            </w:r>
          </w:p>
        </w:tc>
        <w:tc>
          <w:tcPr>
            <w:tcW w:w="3006" w:type="dxa"/>
          </w:tcPr>
          <w:p w14:paraId="66560B97" w14:textId="39576C74" w:rsidR="00CB684F" w:rsidRPr="00E91C7F" w:rsidRDefault="006B6245" w:rsidP="00696858">
            <w:pPr>
              <w:pStyle w:val="Level1Body"/>
              <w:spacing w:before="40" w:after="40"/>
              <w:rPr>
                <w:color w:val="auto"/>
              </w:rPr>
            </w:pPr>
            <w:r w:rsidRPr="00E91C7F">
              <w:rPr>
                <w:color w:val="auto"/>
              </w:rPr>
              <w:t>The total project must be completed by June 30, 2027.</w:t>
            </w:r>
          </w:p>
        </w:tc>
      </w:tr>
      <w:tr w:rsidR="006B6245" w14:paraId="7286F804" w14:textId="77777777" w:rsidTr="00CB684F">
        <w:tc>
          <w:tcPr>
            <w:tcW w:w="938" w:type="dxa"/>
          </w:tcPr>
          <w:p w14:paraId="28774AD2" w14:textId="0C44F2B6" w:rsidR="006B6245" w:rsidRDefault="006B6245" w:rsidP="00696858">
            <w:pPr>
              <w:pStyle w:val="Level1Body"/>
              <w:spacing w:before="40" w:after="40"/>
            </w:pPr>
            <w:r>
              <w:t>7.</w:t>
            </w:r>
          </w:p>
        </w:tc>
        <w:tc>
          <w:tcPr>
            <w:tcW w:w="1667" w:type="dxa"/>
          </w:tcPr>
          <w:p w14:paraId="037E35A1" w14:textId="74EEC29E" w:rsidR="006B6245" w:rsidRDefault="006B6245" w:rsidP="00696858">
            <w:pPr>
              <w:pStyle w:val="Level1Body"/>
              <w:spacing w:before="40" w:after="40"/>
              <w:jc w:val="left"/>
            </w:pPr>
            <w:r>
              <w:t>Section V</w:t>
            </w:r>
          </w:p>
        </w:tc>
        <w:tc>
          <w:tcPr>
            <w:tcW w:w="920" w:type="dxa"/>
          </w:tcPr>
          <w:p w14:paraId="1BDC2513" w14:textId="37B62015" w:rsidR="006B6245" w:rsidRDefault="006B6245" w:rsidP="00696858">
            <w:pPr>
              <w:pStyle w:val="Level1Body"/>
              <w:spacing w:before="40" w:after="40"/>
            </w:pPr>
            <w:r>
              <w:t>22</w:t>
            </w:r>
          </w:p>
        </w:tc>
        <w:tc>
          <w:tcPr>
            <w:tcW w:w="2819" w:type="dxa"/>
          </w:tcPr>
          <w:p w14:paraId="67871D98" w14:textId="4D39AA8C" w:rsidR="006B6245" w:rsidRPr="006B6245" w:rsidRDefault="006B6245" w:rsidP="00696858">
            <w:pPr>
              <w:pStyle w:val="Level1Body"/>
              <w:spacing w:before="40" w:after="40"/>
            </w:pPr>
            <w:r w:rsidRPr="006B6245">
              <w:t xml:space="preserve">What amount are you calling for to be done by July 31? </w:t>
            </w:r>
          </w:p>
        </w:tc>
        <w:tc>
          <w:tcPr>
            <w:tcW w:w="3006" w:type="dxa"/>
          </w:tcPr>
          <w:p w14:paraId="45874C4D" w14:textId="40C5219F" w:rsidR="006B6245" w:rsidRPr="00E91C7F" w:rsidRDefault="00E91C7F" w:rsidP="00696858">
            <w:pPr>
              <w:pStyle w:val="Level1Body"/>
              <w:spacing w:before="40" w:after="40"/>
              <w:rPr>
                <w:color w:val="auto"/>
              </w:rPr>
            </w:pPr>
            <w:r>
              <w:rPr>
                <w:color w:val="auto"/>
              </w:rPr>
              <w:t>The project timeline has been modified.  There is no longer a requirement for a specific number of acres to be completed by the end of July 2026.  Instead, all acres must be completed by June 30</w:t>
            </w:r>
            <w:r w:rsidRPr="00E91C7F">
              <w:rPr>
                <w:color w:val="auto"/>
                <w:vertAlign w:val="superscript"/>
              </w:rPr>
              <w:t>th</w:t>
            </w:r>
            <w:r>
              <w:rPr>
                <w:color w:val="auto"/>
              </w:rPr>
              <w:t>, 2027.</w:t>
            </w:r>
          </w:p>
        </w:tc>
      </w:tr>
      <w:tr w:rsidR="006B6245" w14:paraId="0072B44D" w14:textId="77777777" w:rsidTr="00CB684F">
        <w:tc>
          <w:tcPr>
            <w:tcW w:w="938" w:type="dxa"/>
          </w:tcPr>
          <w:p w14:paraId="38BFF745" w14:textId="626339A3" w:rsidR="006B6245" w:rsidRDefault="006B6245" w:rsidP="00696858">
            <w:pPr>
              <w:pStyle w:val="Level1Body"/>
              <w:spacing w:before="40" w:after="40"/>
            </w:pPr>
            <w:r>
              <w:t>8.</w:t>
            </w:r>
          </w:p>
        </w:tc>
        <w:tc>
          <w:tcPr>
            <w:tcW w:w="1667" w:type="dxa"/>
          </w:tcPr>
          <w:p w14:paraId="377DD846" w14:textId="77777777" w:rsidR="006B6245" w:rsidRDefault="006B6245" w:rsidP="00696858">
            <w:pPr>
              <w:pStyle w:val="Level1Body"/>
              <w:spacing w:before="40" w:after="40"/>
              <w:jc w:val="left"/>
            </w:pPr>
          </w:p>
        </w:tc>
        <w:tc>
          <w:tcPr>
            <w:tcW w:w="920" w:type="dxa"/>
          </w:tcPr>
          <w:p w14:paraId="71DED6D5" w14:textId="77777777" w:rsidR="006B6245" w:rsidRDefault="006B6245" w:rsidP="00696858">
            <w:pPr>
              <w:pStyle w:val="Level1Body"/>
              <w:spacing w:before="40" w:after="40"/>
            </w:pPr>
          </w:p>
        </w:tc>
        <w:tc>
          <w:tcPr>
            <w:tcW w:w="2819" w:type="dxa"/>
          </w:tcPr>
          <w:p w14:paraId="0CE4AEAE" w14:textId="513D95A8" w:rsidR="006B6245" w:rsidRPr="006B6245" w:rsidRDefault="006B6245" w:rsidP="00696858">
            <w:pPr>
              <w:pStyle w:val="Level1Body"/>
              <w:spacing w:before="40" w:after="40"/>
            </w:pPr>
            <w:r w:rsidRPr="006B6245">
              <w:t>Is there any possibility of splitting WMA into more than one project</w:t>
            </w:r>
            <w:r w:rsidR="00FC446E">
              <w:t>.</w:t>
            </w:r>
          </w:p>
        </w:tc>
        <w:tc>
          <w:tcPr>
            <w:tcW w:w="3006" w:type="dxa"/>
          </w:tcPr>
          <w:p w14:paraId="3C0E0215" w14:textId="333EE782" w:rsidR="006B6245" w:rsidRPr="00E91C7F" w:rsidRDefault="00FC446E" w:rsidP="00FC446E">
            <w:pPr>
              <w:pStyle w:val="Level1Body"/>
              <w:spacing w:before="40" w:after="40"/>
              <w:rPr>
                <w:color w:val="auto"/>
              </w:rPr>
            </w:pPr>
            <w:r>
              <w:rPr>
                <w:color w:val="auto"/>
              </w:rPr>
              <w:t xml:space="preserve">No. </w:t>
            </w:r>
            <w:r w:rsidR="00E91C7F" w:rsidRPr="00E91C7F">
              <w:rPr>
                <w:color w:val="auto"/>
              </w:rPr>
              <w:t xml:space="preserve">The project will be awarded </w:t>
            </w:r>
            <w:r w:rsidR="00AB634A">
              <w:rPr>
                <w:color w:val="auto"/>
              </w:rPr>
              <w:t xml:space="preserve">to a single contractor, </w:t>
            </w:r>
            <w:r w:rsidR="00E91C7F" w:rsidRPr="00E91C7F">
              <w:rPr>
                <w:color w:val="auto"/>
              </w:rPr>
              <w:t xml:space="preserve">as </w:t>
            </w:r>
            <w:r w:rsidR="00E91C7F">
              <w:rPr>
                <w:color w:val="auto"/>
              </w:rPr>
              <w:t>i</w:t>
            </w:r>
            <w:r w:rsidR="00E91C7F" w:rsidRPr="00E91C7F">
              <w:rPr>
                <w:color w:val="auto"/>
              </w:rPr>
              <w:t>t has been bid.</w:t>
            </w:r>
          </w:p>
        </w:tc>
      </w:tr>
      <w:tr w:rsidR="008178D4" w14:paraId="148DBC9D" w14:textId="77777777" w:rsidTr="00CB684F">
        <w:tc>
          <w:tcPr>
            <w:tcW w:w="938" w:type="dxa"/>
          </w:tcPr>
          <w:p w14:paraId="61F79D6F" w14:textId="65DCEE64" w:rsidR="008178D4" w:rsidRDefault="008178D4" w:rsidP="00696858">
            <w:pPr>
              <w:pStyle w:val="Level1Body"/>
              <w:spacing w:before="40" w:after="40"/>
            </w:pPr>
            <w:r>
              <w:lastRenderedPageBreak/>
              <w:t>9.</w:t>
            </w:r>
          </w:p>
        </w:tc>
        <w:tc>
          <w:tcPr>
            <w:tcW w:w="1667" w:type="dxa"/>
          </w:tcPr>
          <w:p w14:paraId="735F9FAF" w14:textId="3E541C08" w:rsidR="008178D4" w:rsidRDefault="008178D4" w:rsidP="00696858">
            <w:pPr>
              <w:pStyle w:val="Level1Body"/>
              <w:spacing w:before="40" w:after="40"/>
              <w:jc w:val="left"/>
            </w:pPr>
            <w:r>
              <w:t>Section V</w:t>
            </w:r>
          </w:p>
        </w:tc>
        <w:tc>
          <w:tcPr>
            <w:tcW w:w="920" w:type="dxa"/>
          </w:tcPr>
          <w:p w14:paraId="367E0026" w14:textId="739EF396" w:rsidR="008178D4" w:rsidRDefault="008178D4" w:rsidP="00696858">
            <w:pPr>
              <w:pStyle w:val="Level1Body"/>
              <w:spacing w:before="40" w:after="40"/>
            </w:pPr>
            <w:r>
              <w:t>23</w:t>
            </w:r>
          </w:p>
        </w:tc>
        <w:tc>
          <w:tcPr>
            <w:tcW w:w="2819" w:type="dxa"/>
          </w:tcPr>
          <w:p w14:paraId="1AD88A26" w14:textId="01088BE2" w:rsidR="008178D4" w:rsidRPr="006B6245" w:rsidRDefault="008178D4" w:rsidP="00696858">
            <w:pPr>
              <w:shd w:val="clear" w:color="auto" w:fill="FFFFFF"/>
              <w:spacing w:before="40" w:after="40"/>
              <w:jc w:val="left"/>
            </w:pPr>
            <w:r w:rsidRPr="00E138C7">
              <w:rPr>
                <w:rFonts w:cs="Arial"/>
                <w:color w:val="000000"/>
              </w:rPr>
              <w:t>Who is responsible for burning the piles of trees?</w:t>
            </w:r>
          </w:p>
        </w:tc>
        <w:tc>
          <w:tcPr>
            <w:tcW w:w="3006" w:type="dxa"/>
          </w:tcPr>
          <w:p w14:paraId="00388D34" w14:textId="6B004B42" w:rsidR="008178D4" w:rsidRPr="00E91C7F" w:rsidRDefault="0046726D" w:rsidP="00696858">
            <w:pPr>
              <w:pStyle w:val="Level1Body"/>
              <w:spacing w:before="40" w:after="40"/>
              <w:rPr>
                <w:color w:val="auto"/>
              </w:rPr>
            </w:pPr>
            <w:r w:rsidRPr="00E91C7F">
              <w:rPr>
                <w:color w:val="auto"/>
              </w:rPr>
              <w:t xml:space="preserve">NGPC will be responsible for burning piles or hiring a contractor to burn the piles </w:t>
            </w:r>
            <w:proofErr w:type="gramStart"/>
            <w:r w:rsidRPr="00E91C7F">
              <w:rPr>
                <w:color w:val="auto"/>
              </w:rPr>
              <w:t>at a later date</w:t>
            </w:r>
            <w:proofErr w:type="gramEnd"/>
            <w:r w:rsidRPr="00E91C7F">
              <w:rPr>
                <w:color w:val="auto"/>
              </w:rPr>
              <w:t>.</w:t>
            </w:r>
          </w:p>
        </w:tc>
      </w:tr>
      <w:tr w:rsidR="008178D4" w14:paraId="5E9535D9" w14:textId="77777777" w:rsidTr="00CB684F">
        <w:tc>
          <w:tcPr>
            <w:tcW w:w="938" w:type="dxa"/>
          </w:tcPr>
          <w:p w14:paraId="15AA6984" w14:textId="63EF9D8A" w:rsidR="008178D4" w:rsidRDefault="008178D4" w:rsidP="00696858">
            <w:pPr>
              <w:pStyle w:val="Level1Body"/>
              <w:spacing w:before="40" w:after="40"/>
            </w:pPr>
            <w:r>
              <w:t>10.</w:t>
            </w:r>
          </w:p>
        </w:tc>
        <w:tc>
          <w:tcPr>
            <w:tcW w:w="1667" w:type="dxa"/>
          </w:tcPr>
          <w:p w14:paraId="459EA4C6" w14:textId="24FD4746" w:rsidR="008178D4" w:rsidRDefault="008178D4" w:rsidP="00696858">
            <w:pPr>
              <w:pStyle w:val="Level1Body"/>
              <w:spacing w:before="40" w:after="40"/>
              <w:jc w:val="left"/>
            </w:pPr>
            <w:r>
              <w:t>Section V</w:t>
            </w:r>
          </w:p>
        </w:tc>
        <w:tc>
          <w:tcPr>
            <w:tcW w:w="920" w:type="dxa"/>
          </w:tcPr>
          <w:p w14:paraId="72242621" w14:textId="66F245B6" w:rsidR="008178D4" w:rsidRDefault="008178D4" w:rsidP="00696858">
            <w:pPr>
              <w:pStyle w:val="Level1Body"/>
              <w:spacing w:before="40" w:after="40"/>
            </w:pPr>
            <w:r>
              <w:t>23</w:t>
            </w:r>
          </w:p>
        </w:tc>
        <w:tc>
          <w:tcPr>
            <w:tcW w:w="2819" w:type="dxa"/>
          </w:tcPr>
          <w:p w14:paraId="6FD7B6E6" w14:textId="74555105" w:rsidR="008178D4" w:rsidRPr="00E138C7" w:rsidRDefault="008178D4" w:rsidP="00696858">
            <w:pPr>
              <w:shd w:val="clear" w:color="auto" w:fill="FFFFFF"/>
              <w:spacing w:before="40" w:after="40"/>
              <w:jc w:val="left"/>
              <w:rPr>
                <w:rFonts w:cs="Arial"/>
                <w:color w:val="000000"/>
              </w:rPr>
            </w:pPr>
            <w:r w:rsidRPr="008178D4">
              <w:rPr>
                <w:rFonts w:cs="Arial"/>
                <w:color w:val="000000"/>
              </w:rPr>
              <w:t>Can the whole root ball of the tree be removed?</w:t>
            </w:r>
          </w:p>
        </w:tc>
        <w:tc>
          <w:tcPr>
            <w:tcW w:w="3006" w:type="dxa"/>
          </w:tcPr>
          <w:p w14:paraId="41907996" w14:textId="52B59EC1" w:rsidR="008178D4" w:rsidRPr="00E91C7F" w:rsidRDefault="00510C0A" w:rsidP="00696858">
            <w:pPr>
              <w:pStyle w:val="Level1Body"/>
              <w:spacing w:before="40" w:after="40"/>
              <w:rPr>
                <w:color w:val="auto"/>
              </w:rPr>
            </w:pPr>
            <w:r w:rsidRPr="00E91C7F">
              <w:rPr>
                <w:color w:val="auto"/>
              </w:rPr>
              <w:t>No. As the specs state, trees will either be mulched or cut at ground level and piled.  Contractors are not allowed to use any other method of tree removal.</w:t>
            </w:r>
          </w:p>
        </w:tc>
      </w:tr>
      <w:tr w:rsidR="003774ED" w14:paraId="55E051DE" w14:textId="77777777" w:rsidTr="00CB684F">
        <w:tc>
          <w:tcPr>
            <w:tcW w:w="938" w:type="dxa"/>
          </w:tcPr>
          <w:p w14:paraId="4B4E8948" w14:textId="12CDCD77" w:rsidR="003774ED" w:rsidRDefault="003774ED" w:rsidP="00696858">
            <w:pPr>
              <w:pStyle w:val="Level1Body"/>
              <w:spacing w:before="40" w:after="40"/>
            </w:pPr>
            <w:r>
              <w:t>11.</w:t>
            </w:r>
          </w:p>
        </w:tc>
        <w:tc>
          <w:tcPr>
            <w:tcW w:w="1667" w:type="dxa"/>
          </w:tcPr>
          <w:p w14:paraId="1EF55990" w14:textId="2CD83F76" w:rsidR="003774ED" w:rsidRDefault="003774ED" w:rsidP="00696858">
            <w:pPr>
              <w:pStyle w:val="Level1Body"/>
              <w:spacing w:before="40" w:after="40"/>
              <w:jc w:val="left"/>
            </w:pPr>
            <w:r>
              <w:t>Section V</w:t>
            </w:r>
          </w:p>
        </w:tc>
        <w:tc>
          <w:tcPr>
            <w:tcW w:w="920" w:type="dxa"/>
          </w:tcPr>
          <w:p w14:paraId="4579AAF3" w14:textId="5ABEB04C" w:rsidR="003774ED" w:rsidRDefault="003774ED" w:rsidP="00696858">
            <w:pPr>
              <w:pStyle w:val="Level1Body"/>
              <w:spacing w:before="40" w:after="40"/>
            </w:pPr>
            <w:r>
              <w:t>23</w:t>
            </w:r>
          </w:p>
        </w:tc>
        <w:tc>
          <w:tcPr>
            <w:tcW w:w="2819" w:type="dxa"/>
          </w:tcPr>
          <w:p w14:paraId="67A00A9C" w14:textId="4123DD87" w:rsidR="003774ED" w:rsidRPr="008178D4" w:rsidRDefault="003774ED" w:rsidP="00696858">
            <w:pPr>
              <w:shd w:val="clear" w:color="auto" w:fill="FFFFFF"/>
              <w:spacing w:before="40" w:after="40"/>
              <w:jc w:val="left"/>
              <w:rPr>
                <w:rFonts w:cs="Arial"/>
                <w:color w:val="000000"/>
              </w:rPr>
            </w:pPr>
            <w:r w:rsidRPr="00E138C7">
              <w:rPr>
                <w:rFonts w:cs="Arial"/>
                <w:color w:val="000000"/>
              </w:rPr>
              <w:t>Will the trees on the southwest steep slope end need to be cut?</w:t>
            </w:r>
          </w:p>
        </w:tc>
        <w:tc>
          <w:tcPr>
            <w:tcW w:w="3006" w:type="dxa"/>
          </w:tcPr>
          <w:p w14:paraId="01C3F6D1" w14:textId="311AAC46" w:rsidR="003774ED" w:rsidRDefault="00C22806" w:rsidP="00696858">
            <w:pPr>
              <w:pStyle w:val="Level1Body"/>
              <w:spacing w:before="40" w:after="40"/>
              <w:rPr>
                <w:color w:val="C00000"/>
              </w:rPr>
            </w:pPr>
            <w:r w:rsidRPr="00C22806">
              <w:rPr>
                <w:color w:val="auto"/>
              </w:rPr>
              <w:t xml:space="preserve">Any area with a 35% slope or less is expected to be cut.  There are several areas within the project units that are likely </w:t>
            </w:r>
            <w:proofErr w:type="gramStart"/>
            <w:r w:rsidRPr="00C22806">
              <w:rPr>
                <w:color w:val="auto"/>
              </w:rPr>
              <w:t>over</w:t>
            </w:r>
            <w:proofErr w:type="gramEnd"/>
            <w:r w:rsidRPr="00C22806">
              <w:rPr>
                <w:color w:val="auto"/>
              </w:rPr>
              <w:t xml:space="preserve"> this slope percentage and therefore are not expected to be cut. </w:t>
            </w:r>
            <w:r w:rsidR="000F2B76">
              <w:rPr>
                <w:color w:val="auto"/>
              </w:rPr>
              <w:t>Slope maps will be provided to the Contractor who is awarded the project.</w:t>
            </w:r>
          </w:p>
        </w:tc>
      </w:tr>
    </w:tbl>
    <w:p w14:paraId="559FB09A" w14:textId="2E8E6160"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3EED54B4" w14:textId="77777777" w:rsidR="00932B83" w:rsidRDefault="00932B83"/>
    <w:p w14:paraId="31D7616C" w14:textId="77777777" w:rsidR="00760D32" w:rsidRPr="00760D32" w:rsidRDefault="00760D32" w:rsidP="00760D32">
      <w:pPr>
        <w:tabs>
          <w:tab w:val="left" w:pos="7000"/>
        </w:tabs>
      </w:pPr>
      <w:r>
        <w:tab/>
      </w:r>
    </w:p>
    <w:sectPr w:rsidR="00760D32" w:rsidRPr="00760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F3DB" w14:textId="77777777" w:rsidR="00CB4752" w:rsidRDefault="00CB4752" w:rsidP="00932B83">
      <w:r>
        <w:separator/>
      </w:r>
    </w:p>
  </w:endnote>
  <w:endnote w:type="continuationSeparator" w:id="0">
    <w:p w14:paraId="493A8867" w14:textId="77777777" w:rsidR="00CB4752" w:rsidRDefault="00CB4752"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FC446E"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E2B8" w14:textId="77777777" w:rsidR="00CB4752" w:rsidRDefault="00CB4752" w:rsidP="00932B83">
      <w:r>
        <w:separator/>
      </w:r>
    </w:p>
  </w:footnote>
  <w:footnote w:type="continuationSeparator" w:id="0">
    <w:p w14:paraId="6944BB5F" w14:textId="77777777" w:rsidR="00CB4752" w:rsidRDefault="00CB4752"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2393B"/>
    <w:rsid w:val="000B5D16"/>
    <w:rsid w:val="000D3116"/>
    <w:rsid w:val="000E2D5E"/>
    <w:rsid w:val="000F2B76"/>
    <w:rsid w:val="0010233F"/>
    <w:rsid w:val="00117A3D"/>
    <w:rsid w:val="002032FF"/>
    <w:rsid w:val="00256728"/>
    <w:rsid w:val="002C53FA"/>
    <w:rsid w:val="002D659A"/>
    <w:rsid w:val="003774ED"/>
    <w:rsid w:val="004451ED"/>
    <w:rsid w:val="0046726D"/>
    <w:rsid w:val="004B6B21"/>
    <w:rsid w:val="004D58D7"/>
    <w:rsid w:val="004E0824"/>
    <w:rsid w:val="00510C0A"/>
    <w:rsid w:val="005C6980"/>
    <w:rsid w:val="005F3AC6"/>
    <w:rsid w:val="00601AB5"/>
    <w:rsid w:val="006050A4"/>
    <w:rsid w:val="00696858"/>
    <w:rsid w:val="006B6245"/>
    <w:rsid w:val="0070025A"/>
    <w:rsid w:val="00760D32"/>
    <w:rsid w:val="00804F85"/>
    <w:rsid w:val="008141E2"/>
    <w:rsid w:val="008178D4"/>
    <w:rsid w:val="008920A3"/>
    <w:rsid w:val="008B7C99"/>
    <w:rsid w:val="008D2C8D"/>
    <w:rsid w:val="00932B83"/>
    <w:rsid w:val="00937FD6"/>
    <w:rsid w:val="00A37DE7"/>
    <w:rsid w:val="00A4343C"/>
    <w:rsid w:val="00A55CE9"/>
    <w:rsid w:val="00AB634A"/>
    <w:rsid w:val="00AD6DB9"/>
    <w:rsid w:val="00B73BD8"/>
    <w:rsid w:val="00B82346"/>
    <w:rsid w:val="00BA595A"/>
    <w:rsid w:val="00BF34B3"/>
    <w:rsid w:val="00C22806"/>
    <w:rsid w:val="00CB07EF"/>
    <w:rsid w:val="00CB4752"/>
    <w:rsid w:val="00CB684F"/>
    <w:rsid w:val="00D34F94"/>
    <w:rsid w:val="00D95CF0"/>
    <w:rsid w:val="00E13511"/>
    <w:rsid w:val="00E409AE"/>
    <w:rsid w:val="00E5209C"/>
    <w:rsid w:val="00E91C7F"/>
    <w:rsid w:val="00EF689B"/>
    <w:rsid w:val="00F26A3A"/>
    <w:rsid w:val="00FA5ABF"/>
    <w:rsid w:val="00FC446E"/>
    <w:rsid w:val="00FC4A64"/>
    <w:rsid w:val="00FC6612"/>
    <w:rsid w:val="00F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10</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De Los Reyes, Elizabeth</cp:lastModifiedBy>
  <cp:revision>4</cp:revision>
  <cp:lastPrinted>2026-02-04T15:14:00Z</cp:lastPrinted>
  <dcterms:created xsi:type="dcterms:W3CDTF">2026-02-04T14:54:00Z</dcterms:created>
  <dcterms:modified xsi:type="dcterms:W3CDTF">2026-02-04T15:19:00Z</dcterms:modified>
</cp:coreProperties>
</file>